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E2D44" w14:textId="77777777" w:rsidR="00E5559B" w:rsidRDefault="00E5559B" w:rsidP="00B73AE6">
      <w:pPr>
        <w:jc w:val="center"/>
      </w:pPr>
    </w:p>
    <w:p w14:paraId="192D43F0" w14:textId="77777777" w:rsidR="001D2481" w:rsidRDefault="001D2481" w:rsidP="00B73AE6">
      <w:pPr>
        <w:jc w:val="center"/>
      </w:pPr>
    </w:p>
    <w:p w14:paraId="4C580A1B" w14:textId="77777777" w:rsidR="001D2481" w:rsidRDefault="001D2481" w:rsidP="00B73AE6">
      <w:pPr>
        <w:jc w:val="center"/>
      </w:pPr>
    </w:p>
    <w:p w14:paraId="2383B146" w14:textId="77777777" w:rsidR="001D2481" w:rsidRDefault="001D2481" w:rsidP="00B73AE6">
      <w:pPr>
        <w:jc w:val="center"/>
      </w:pPr>
    </w:p>
    <w:p w14:paraId="61C2E069" w14:textId="77777777" w:rsidR="001D2481" w:rsidRDefault="001D2481" w:rsidP="00B73AE6">
      <w:pPr>
        <w:jc w:val="center"/>
      </w:pPr>
    </w:p>
    <w:p w14:paraId="51AC417B" w14:textId="77777777" w:rsidR="001D2481" w:rsidRDefault="001D2481" w:rsidP="00B73AE6">
      <w:pPr>
        <w:jc w:val="center"/>
      </w:pPr>
    </w:p>
    <w:p w14:paraId="6A00E387" w14:textId="77777777" w:rsidR="001D2481" w:rsidRDefault="001D2481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6A8193C2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6CC72B18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1D2481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11F1F483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0167E8EE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1D2481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0B642FBA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4D64F999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8938269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0321CC5C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1D2481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01CE250A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1D2481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42F1AC98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1D2481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12070A16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1D2481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23885E0A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1D2481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41B3484A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1D2481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2BC4F31A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1D2481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7DE477F3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1D2481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1BC996F0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1D2481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45EF1E17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1D2481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30B08861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1D2481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08C39D7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1D2481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5F473BAF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1D2481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1C0B8D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F2230" w14:textId="77777777" w:rsidR="001C0B8D" w:rsidRPr="00003CCF" w:rsidRDefault="001C0B8D" w:rsidP="00003CCF">
      <w:pPr>
        <w:pStyle w:val="Stopka"/>
      </w:pPr>
    </w:p>
  </w:endnote>
  <w:endnote w:type="continuationSeparator" w:id="0">
    <w:p w14:paraId="2949CE78" w14:textId="77777777" w:rsidR="001C0B8D" w:rsidRPr="00C944CB" w:rsidRDefault="001C0B8D" w:rsidP="00C944CB">
      <w:pPr>
        <w:pStyle w:val="Stopka"/>
      </w:pPr>
    </w:p>
  </w:endnote>
  <w:endnote w:type="continuationNotice" w:id="1">
    <w:p w14:paraId="1FF535A8" w14:textId="77777777" w:rsidR="001C0B8D" w:rsidRDefault="001C0B8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  <w:p w14:paraId="28A89DB7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9C4C400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5E62454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4F2D2B2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848021E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CA081C9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620A4F5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07373E6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A288F99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76A00DC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08B37E2F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B16DFA7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F9285B6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BAEDA4D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A822369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F9B208D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AD5F24F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231A28B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388084D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7997F7C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A554D39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AADFD4C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F79BF59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CC75964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6F0AB89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EB4EB4E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86D0762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09E74B0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5D04C2F3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7754605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92D7C24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29A72CE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3847E07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068362E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16E8504D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B9384E6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2ADE5948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475864D7" w14:textId="77777777" w:rsidR="003F0E9F" w:rsidRPr="003F0E9F" w:rsidRDefault="003F0E9F" w:rsidP="003F0E9F">
      <w:pPr>
        <w:widowControl/>
        <w:spacing w:before="0" w:after="0"/>
        <w:ind w:left="295"/>
        <w:jc w:val="both"/>
        <w:rPr>
          <w:rFonts w:ascii="Times New Roman" w:hAnsi="Times New Roman" w:cs="Times New Roman"/>
          <w:b/>
          <w:iCs w:val="0"/>
          <w:sz w:val="22"/>
        </w:rPr>
      </w:pPr>
      <w:r w:rsidRPr="003F0E9F">
        <w:rPr>
          <w:rFonts w:ascii="Times New Roman" w:hAnsi="Times New Roman" w:cs="Times New Roman"/>
          <w:b/>
          <w:iCs w:val="0"/>
          <w:sz w:val="22"/>
        </w:rPr>
        <w:t>KLAUZULA INFORMACYJNA DOT. PRZETWARZANIA DANYCH OSOBOWYCH</w:t>
      </w:r>
    </w:p>
    <w:p w14:paraId="25216D4A" w14:textId="77777777" w:rsidR="003F0E9F" w:rsidRPr="003F0E9F" w:rsidRDefault="003F0E9F" w:rsidP="003F0E9F">
      <w:pPr>
        <w:widowControl/>
        <w:spacing w:before="0" w:after="0"/>
        <w:ind w:left="295"/>
        <w:jc w:val="both"/>
        <w:rPr>
          <w:rFonts w:ascii="Times New Roman" w:hAnsi="Times New Roman" w:cs="Times New Roman"/>
          <w:iCs w:val="0"/>
          <w:sz w:val="22"/>
        </w:rPr>
      </w:pPr>
    </w:p>
    <w:p w14:paraId="0E6A79EA" w14:textId="77777777" w:rsidR="003F0E9F" w:rsidRPr="003F0E9F" w:rsidRDefault="003F0E9F" w:rsidP="003F0E9F">
      <w:pPr>
        <w:widowControl/>
        <w:spacing w:before="0" w:after="0"/>
        <w:ind w:left="295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Zgodnie z rozporządzeniem Parlamentu Europejskiego i Rady (UE) 2016/679 z 27.04.2016r. w sprawie ochrony osób fizycznych w związku z przetwarzaniem danych osobowych</w:t>
      </w:r>
      <w:r w:rsidRPr="003F0E9F">
        <w:rPr>
          <w:rFonts w:ascii="Times New Roman" w:hAnsi="Times New Roman" w:cs="Times New Roman"/>
          <w:iCs w:val="0"/>
          <w:sz w:val="22"/>
        </w:rPr>
        <w:br/>
        <w:t>i w sprawie swobodnego przepływu takich danych oraz uchylenia dyrektywy 95/46/WE (ogólne rozporządzenie o ochronie danych) (Dz. Urz. UE L 119, s. 1) dalej RODO, informuję, iż:</w:t>
      </w:r>
    </w:p>
    <w:p w14:paraId="25D3CB2B" w14:textId="12D104B2" w:rsidR="003F0E9F" w:rsidRPr="003F0E9F" w:rsidRDefault="003F0E9F" w:rsidP="003F0E9F">
      <w:pPr>
        <w:widowControl/>
        <w:shd w:val="clear" w:color="auto" w:fill="FFFFFF"/>
        <w:spacing w:before="0" w:after="0"/>
        <w:ind w:left="426" w:hanging="426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1)</w:t>
      </w:r>
      <w:r w:rsidRPr="003F0E9F">
        <w:rPr>
          <w:rFonts w:ascii="Times New Roman" w:hAnsi="Times New Roman" w:cs="Times New Roman"/>
          <w:iCs w:val="0"/>
          <w:sz w:val="22"/>
        </w:rPr>
        <w:tab/>
        <w:t>Administratorem Pani/Pana danych osobowych jest Wójt Gminy Radomsko, z siedzibą w Radomsku</w:t>
      </w:r>
      <w:r>
        <w:rPr>
          <w:rFonts w:ascii="Times New Roman" w:hAnsi="Times New Roman" w:cs="Times New Roman"/>
          <w:iCs w:val="0"/>
          <w:sz w:val="22"/>
        </w:rPr>
        <w:t xml:space="preserve">                     </w:t>
      </w:r>
      <w:r w:rsidRPr="003F0E9F">
        <w:rPr>
          <w:rFonts w:ascii="Times New Roman" w:hAnsi="Times New Roman" w:cs="Times New Roman"/>
          <w:iCs w:val="0"/>
          <w:sz w:val="22"/>
        </w:rPr>
        <w:t xml:space="preserve"> ul. Piłsudskiego 34, nr tel. 44 683 27 07, adres email: </w:t>
      </w:r>
      <w:hyperlink r:id="rId1" w:history="1">
        <w:r w:rsidRPr="003F0E9F">
          <w:rPr>
            <w:rFonts w:ascii="Times New Roman" w:hAnsi="Times New Roman" w:cs="Times New Roman"/>
            <w:iCs w:val="0"/>
            <w:color w:val="0000FF"/>
            <w:sz w:val="22"/>
            <w:u w:val="single"/>
          </w:rPr>
          <w:t>sekretariat@gmina-radomsko.pl</w:t>
        </w:r>
      </w:hyperlink>
      <w:r w:rsidRPr="003F0E9F">
        <w:rPr>
          <w:rFonts w:ascii="Times New Roman" w:hAnsi="Times New Roman" w:cs="Times New Roman"/>
          <w:iCs w:val="0"/>
          <w:sz w:val="22"/>
        </w:rPr>
        <w:t>.</w:t>
      </w:r>
    </w:p>
    <w:p w14:paraId="4925FD33" w14:textId="77777777" w:rsidR="003F0E9F" w:rsidRPr="003F0E9F" w:rsidRDefault="003F0E9F" w:rsidP="003F0E9F">
      <w:pPr>
        <w:widowControl/>
        <w:shd w:val="clear" w:color="auto" w:fill="FFFFFF"/>
        <w:spacing w:before="0" w:after="0"/>
        <w:ind w:left="426" w:hanging="426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2)</w:t>
      </w:r>
      <w:r w:rsidRPr="003F0E9F">
        <w:rPr>
          <w:rFonts w:ascii="Times New Roman" w:hAnsi="Times New Roman" w:cs="Times New Roman"/>
          <w:iCs w:val="0"/>
          <w:sz w:val="22"/>
        </w:rPr>
        <w:tab/>
        <w:t xml:space="preserve">Z inspektorem ochrony danych Arkadiuszem Zarębskim można się skontaktować pisząc na adres email </w:t>
      </w:r>
      <w:hyperlink r:id="rId2" w:history="1">
        <w:r w:rsidRPr="003F0E9F">
          <w:rPr>
            <w:rFonts w:ascii="Times New Roman" w:hAnsi="Times New Roman" w:cs="Times New Roman"/>
            <w:iCs w:val="0"/>
            <w:color w:val="0000FF"/>
            <w:sz w:val="22"/>
            <w:u w:val="single"/>
          </w:rPr>
          <w:t>iod@gmina-radomsko.pl</w:t>
        </w:r>
      </w:hyperlink>
      <w:r w:rsidRPr="003F0E9F">
        <w:rPr>
          <w:rFonts w:ascii="Times New Roman" w:hAnsi="Times New Roman" w:cs="Times New Roman"/>
          <w:iCs w:val="0"/>
          <w:sz w:val="22"/>
        </w:rPr>
        <w:t>;</w:t>
      </w:r>
    </w:p>
    <w:p w14:paraId="516F596E" w14:textId="0BF197BF" w:rsidR="003F0E9F" w:rsidRPr="003F0E9F" w:rsidRDefault="003F0E9F" w:rsidP="003F0E9F">
      <w:pPr>
        <w:widowControl/>
        <w:spacing w:before="0" w:after="0"/>
        <w:ind w:left="426" w:hanging="426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3)</w:t>
      </w:r>
      <w:r w:rsidRPr="003F0E9F">
        <w:rPr>
          <w:rFonts w:ascii="Times New Roman" w:hAnsi="Times New Roman" w:cs="Times New Roman"/>
          <w:iCs w:val="0"/>
          <w:sz w:val="22"/>
        </w:rPr>
        <w:tab/>
        <w:t xml:space="preserve">Pani/Pana dane osobowe przetwarzane będą w celu wydania decyzji ustalającej warunki zabudowy </w:t>
      </w:r>
      <w:r>
        <w:rPr>
          <w:rFonts w:ascii="Times New Roman" w:hAnsi="Times New Roman" w:cs="Times New Roman"/>
          <w:iCs w:val="0"/>
          <w:sz w:val="22"/>
        </w:rPr>
        <w:t xml:space="preserve">                               </w:t>
      </w:r>
      <w:r w:rsidRPr="003F0E9F">
        <w:rPr>
          <w:rFonts w:ascii="Times New Roman" w:hAnsi="Times New Roman" w:cs="Times New Roman"/>
          <w:iCs w:val="0"/>
          <w:sz w:val="22"/>
        </w:rPr>
        <w:t>i zagospodarowania terenu na podstawie:</w:t>
      </w:r>
    </w:p>
    <w:p w14:paraId="37C6AAE0" w14:textId="77777777" w:rsidR="003F0E9F" w:rsidRPr="003F0E9F" w:rsidRDefault="003F0E9F" w:rsidP="003F0E9F">
      <w:pPr>
        <w:widowControl/>
        <w:numPr>
          <w:ilvl w:val="0"/>
          <w:numId w:val="112"/>
        </w:numPr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art. 6 ust. 1 lit. c RODO - przetwarzanie jest niezbędne do wypełnienia obowiązku prawnego ciążącego na administratorze;</w:t>
      </w:r>
    </w:p>
    <w:p w14:paraId="5B962C04" w14:textId="77777777" w:rsidR="003F0E9F" w:rsidRPr="003F0E9F" w:rsidRDefault="003F0E9F" w:rsidP="003F0E9F">
      <w:pPr>
        <w:widowControl/>
        <w:spacing w:before="0" w:after="0"/>
        <w:ind w:left="420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w szczególności wynikającego z:</w:t>
      </w:r>
    </w:p>
    <w:p w14:paraId="2B236AB9" w14:textId="77777777" w:rsidR="003F0E9F" w:rsidRPr="003F0E9F" w:rsidRDefault="003F0E9F" w:rsidP="003F0E9F">
      <w:pPr>
        <w:widowControl/>
        <w:numPr>
          <w:ilvl w:val="0"/>
          <w:numId w:val="113"/>
        </w:numPr>
        <w:spacing w:before="0" w:after="0"/>
        <w:contextualSpacing/>
        <w:jc w:val="both"/>
        <w:rPr>
          <w:rFonts w:ascii="Times New Roman" w:hAnsi="Times New Roman" w:cs="Times New Roman"/>
          <w:i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 xml:space="preserve">ustawy z dnia 27 marca 2003 r. </w:t>
      </w:r>
      <w:r w:rsidRPr="003F0E9F">
        <w:rPr>
          <w:rFonts w:ascii="Times New Roman" w:hAnsi="Times New Roman" w:cs="Times New Roman"/>
          <w:i/>
          <w:iCs w:val="0"/>
          <w:sz w:val="22"/>
        </w:rPr>
        <w:t>o planowaniu i zagospodarowaniu przestrzennym;</w:t>
      </w:r>
    </w:p>
    <w:p w14:paraId="08C209CF" w14:textId="77777777" w:rsidR="003F0E9F" w:rsidRPr="003F0E9F" w:rsidRDefault="003F0E9F" w:rsidP="003F0E9F">
      <w:pPr>
        <w:widowControl/>
        <w:numPr>
          <w:ilvl w:val="0"/>
          <w:numId w:val="113"/>
        </w:numPr>
        <w:spacing w:before="0" w:after="0"/>
        <w:contextualSpacing/>
        <w:jc w:val="both"/>
        <w:rPr>
          <w:rFonts w:ascii="Times New Roman" w:hAnsi="Times New Roman" w:cs="Times New Roman"/>
          <w:i/>
          <w:iCs w:val="0"/>
          <w:sz w:val="22"/>
        </w:rPr>
      </w:pPr>
      <w:r w:rsidRPr="003F0E9F">
        <w:rPr>
          <w:rFonts w:ascii="Times New Roman" w:hAnsi="Times New Roman" w:cs="Times New Roman"/>
          <w:i/>
          <w:iCs w:val="0"/>
          <w:sz w:val="22"/>
        </w:rPr>
        <w:t xml:space="preserve"> </w:t>
      </w:r>
      <w:r w:rsidRPr="003F0E9F">
        <w:rPr>
          <w:rFonts w:ascii="Times New Roman" w:hAnsi="Times New Roman" w:cs="Times New Roman"/>
          <w:iCs w:val="0"/>
          <w:sz w:val="22"/>
        </w:rPr>
        <w:t xml:space="preserve">ustawy z dnia 14 czerwca 1960 r. </w:t>
      </w:r>
      <w:r w:rsidRPr="003F0E9F">
        <w:rPr>
          <w:rFonts w:ascii="Times New Roman" w:hAnsi="Times New Roman" w:cs="Times New Roman"/>
          <w:i/>
          <w:iCs w:val="0"/>
          <w:sz w:val="22"/>
        </w:rPr>
        <w:t>Kodeks postępowania administracyjnego;</w:t>
      </w:r>
    </w:p>
    <w:p w14:paraId="16FF126F" w14:textId="77777777" w:rsidR="003F0E9F" w:rsidRPr="003F0E9F" w:rsidRDefault="003F0E9F" w:rsidP="003F0E9F">
      <w:pPr>
        <w:widowControl/>
        <w:numPr>
          <w:ilvl w:val="0"/>
          <w:numId w:val="113"/>
        </w:numPr>
        <w:spacing w:before="0" w:after="0"/>
        <w:contextualSpacing/>
        <w:jc w:val="both"/>
        <w:rPr>
          <w:rFonts w:ascii="Times New Roman" w:hAnsi="Times New Roman" w:cs="Times New Roman"/>
          <w:i/>
          <w:iCs w:val="0"/>
          <w:sz w:val="22"/>
        </w:rPr>
      </w:pPr>
      <w:r w:rsidRPr="003F0E9F">
        <w:rPr>
          <w:rFonts w:ascii="Times New Roman" w:hAnsi="Times New Roman" w:cs="Times New Roman"/>
          <w:sz w:val="22"/>
        </w:rPr>
        <w:t xml:space="preserve">rozporządzenia Ministra Rozwoju i Technologii z dnia 20 lutego 2024 r. </w:t>
      </w:r>
      <w:r w:rsidRPr="003F0E9F">
        <w:rPr>
          <w:rFonts w:ascii="TimesNewRomanPS-BoldMT" w:eastAsia="Calibri" w:hAnsi="TimesNewRomanPS-BoldMT" w:cs="TimesNewRomanPS-BoldMT"/>
          <w:i/>
          <w:sz w:val="22"/>
          <w:lang w:eastAsia="en-US"/>
        </w:rPr>
        <w:t>w sprawie określenia wzoru formularza wniosku o ustalenie lokalizacji inwestycji celu publicznego albo warunków zabudowy</w:t>
      </w:r>
    </w:p>
    <w:p w14:paraId="5272E3B2" w14:textId="2D61F170" w:rsidR="003F0E9F" w:rsidRPr="003F0E9F" w:rsidRDefault="003F0E9F" w:rsidP="003F0E9F">
      <w:pPr>
        <w:widowControl/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 xml:space="preserve">4)   </w:t>
      </w:r>
      <w:r w:rsidRPr="003F0E9F">
        <w:rPr>
          <w:rFonts w:ascii="Times New Roman" w:hAnsi="Times New Roman" w:cs="Times New Roman"/>
          <w:iCs w:val="0"/>
          <w:sz w:val="22"/>
          <w:shd w:val="clear" w:color="auto" w:fill="FFFFFF"/>
        </w:rPr>
        <w:t xml:space="preserve">W związku </w:t>
      </w:r>
      <w:r w:rsidRPr="003F0E9F">
        <w:rPr>
          <w:rFonts w:ascii="Times New Roman" w:hAnsi="Times New Roman" w:cs="Times New Roman"/>
          <w:iCs w:val="0"/>
          <w:sz w:val="22"/>
        </w:rPr>
        <w:t>z przetwarzaniem danych w celu o którym mowa w pkt 3 odbiorcami Pani/Pana danych osobowych mogą być:</w:t>
      </w:r>
    </w:p>
    <w:p w14:paraId="1C96066C" w14:textId="39B16D95" w:rsidR="003F0E9F" w:rsidRPr="003F0E9F" w:rsidRDefault="003F0E9F" w:rsidP="003F0E9F">
      <w:pPr>
        <w:widowControl/>
        <w:numPr>
          <w:ilvl w:val="0"/>
          <w:numId w:val="112"/>
        </w:numPr>
        <w:spacing w:before="0" w:after="160" w:line="256" w:lineRule="auto"/>
        <w:contextualSpacing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42812025" w14:textId="77777777" w:rsidR="003F0E9F" w:rsidRPr="003F0E9F" w:rsidRDefault="003F0E9F" w:rsidP="003F0E9F">
      <w:pPr>
        <w:widowControl/>
        <w:numPr>
          <w:ilvl w:val="0"/>
          <w:numId w:val="112"/>
        </w:numPr>
        <w:spacing w:before="0" w:after="0" w:line="256" w:lineRule="auto"/>
        <w:contextualSpacing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inne podmioty, które na podstawie stosownych umów podpisanych z Gminą Radomsko przetwarzają dane osobowe dla których Administratorem jest Gmina Radomsko.</w:t>
      </w:r>
    </w:p>
    <w:p w14:paraId="6EBB0D25" w14:textId="14C0D4C5" w:rsidR="003F0E9F" w:rsidRPr="003F0E9F" w:rsidRDefault="003F0E9F" w:rsidP="003F0E9F">
      <w:pPr>
        <w:widowControl/>
        <w:shd w:val="clear" w:color="auto" w:fill="FFFFFF"/>
        <w:spacing w:before="0" w:after="0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5)</w:t>
      </w:r>
      <w:r w:rsidRPr="003F0E9F">
        <w:rPr>
          <w:rFonts w:ascii="Times New Roman" w:hAnsi="Times New Roman" w:cs="Times New Roman"/>
          <w:iCs w:val="0"/>
          <w:sz w:val="22"/>
        </w:rPr>
        <w:tab/>
        <w:t xml:space="preserve">Dane osobowe będą przechowywane przez okres niezbędny do realizacji celów określonych  w pkt 3, </w:t>
      </w:r>
      <w:r>
        <w:rPr>
          <w:rFonts w:ascii="Times New Roman" w:hAnsi="Times New Roman" w:cs="Times New Roman"/>
          <w:iCs w:val="0"/>
          <w:sz w:val="22"/>
        </w:rPr>
        <w:t xml:space="preserve">              </w:t>
      </w:r>
      <w:r w:rsidRPr="003F0E9F">
        <w:rPr>
          <w:rFonts w:ascii="Times New Roman" w:hAnsi="Times New Roman" w:cs="Times New Roman"/>
          <w:iCs w:val="0"/>
          <w:sz w:val="22"/>
        </w:rPr>
        <w:t>a po tym czasie przez oraz w zakresie wymaganym przez przepisy powszechnie obowiązującego prawa</w:t>
      </w:r>
      <w:r>
        <w:rPr>
          <w:rFonts w:ascii="Times New Roman" w:hAnsi="Times New Roman" w:cs="Times New Roman"/>
          <w:iCs w:val="0"/>
          <w:sz w:val="22"/>
        </w:rPr>
        <w:t xml:space="preserve">               </w:t>
      </w:r>
      <w:r w:rsidRPr="003F0E9F">
        <w:rPr>
          <w:rFonts w:ascii="Times New Roman" w:hAnsi="Times New Roman" w:cs="Times New Roman"/>
          <w:iCs w:val="0"/>
          <w:sz w:val="22"/>
        </w:rPr>
        <w:t xml:space="preserve"> tj. ustawa z dnia 14 lipca 1983r.</w:t>
      </w:r>
      <w:r w:rsidRPr="003F0E9F">
        <w:rPr>
          <w:rFonts w:ascii="Times New Roman" w:hAnsi="Times New Roman" w:cs="Times New Roman"/>
          <w:i/>
          <w:iCs w:val="0"/>
          <w:sz w:val="22"/>
        </w:rPr>
        <w:t xml:space="preserve"> o narodowym zasobie archiwalnym i archiwach, </w:t>
      </w:r>
      <w:r w:rsidRPr="003F0E9F">
        <w:rPr>
          <w:rFonts w:ascii="Times New Roman" w:hAnsi="Times New Roman" w:cs="Times New Roman"/>
          <w:iCs w:val="0"/>
          <w:sz w:val="22"/>
        </w:rPr>
        <w:t xml:space="preserve">rozporządzenie  Prezesa Rady Ministrów z dnia 18 stycznia 2011r. </w:t>
      </w:r>
      <w:r w:rsidRPr="003F0E9F">
        <w:rPr>
          <w:rFonts w:ascii="Times New Roman" w:hAnsi="Times New Roman" w:cs="Times New Roman"/>
          <w:i/>
          <w:iCs w:val="0"/>
          <w:sz w:val="22"/>
        </w:rPr>
        <w:t xml:space="preserve">w sprawie instrukcji kancelaryjnej, jednolitych rzeczowych wykazów akt oraz instrukcji w sprawie organizacji i zakresu działania archiwów zakładowych; </w:t>
      </w:r>
    </w:p>
    <w:p w14:paraId="18F43F40" w14:textId="77777777" w:rsidR="003F0E9F" w:rsidRPr="003F0E9F" w:rsidRDefault="003F0E9F" w:rsidP="003F0E9F">
      <w:pPr>
        <w:widowControl/>
        <w:shd w:val="clear" w:color="auto" w:fill="FFFFFF"/>
        <w:spacing w:before="0" w:after="0"/>
        <w:ind w:left="426" w:hanging="426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6)</w:t>
      </w:r>
      <w:r w:rsidRPr="003F0E9F">
        <w:rPr>
          <w:rFonts w:ascii="Times New Roman" w:hAnsi="Times New Roman" w:cs="Times New Roman"/>
          <w:iCs w:val="0"/>
          <w:sz w:val="22"/>
        </w:rPr>
        <w:tab/>
        <w:t>Posiada Pani/Pan:</w:t>
      </w:r>
    </w:p>
    <w:p w14:paraId="6D2B48FF" w14:textId="77777777" w:rsidR="003F0E9F" w:rsidRPr="003F0E9F" w:rsidRDefault="003F0E9F" w:rsidP="003F0E9F">
      <w:pPr>
        <w:widowControl/>
        <w:numPr>
          <w:ilvl w:val="0"/>
          <w:numId w:val="112"/>
        </w:numPr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na podstawie art. 15 RODO prawo dostępu do udostępnionych przezeń danych osobowych;</w:t>
      </w:r>
    </w:p>
    <w:p w14:paraId="309C5B2B" w14:textId="77777777" w:rsidR="003F0E9F" w:rsidRPr="003F0E9F" w:rsidRDefault="003F0E9F" w:rsidP="003F0E9F">
      <w:pPr>
        <w:widowControl/>
        <w:numPr>
          <w:ilvl w:val="0"/>
          <w:numId w:val="112"/>
        </w:numPr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 xml:space="preserve">na podstawie art. 16 RODO prawo do sprostowania udostępnionych przezeń danych osobowych; </w:t>
      </w:r>
    </w:p>
    <w:p w14:paraId="79625643" w14:textId="77777777" w:rsidR="003F0E9F" w:rsidRPr="003F0E9F" w:rsidRDefault="003F0E9F" w:rsidP="003F0E9F">
      <w:pPr>
        <w:widowControl/>
        <w:numPr>
          <w:ilvl w:val="0"/>
          <w:numId w:val="114"/>
        </w:numPr>
        <w:shd w:val="clear" w:color="auto" w:fill="FFFFFF"/>
        <w:suppressAutoHyphens/>
        <w:autoSpaceDN w:val="0"/>
        <w:spacing w:before="0" w:after="0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na podstawie art. 17 RODO prawo do usunięcia danych, w przypadku gdy:</w:t>
      </w:r>
    </w:p>
    <w:p w14:paraId="4C9439C8" w14:textId="0E8A8108" w:rsidR="003F0E9F" w:rsidRPr="003F0E9F" w:rsidRDefault="003F0E9F" w:rsidP="003F0E9F">
      <w:pPr>
        <w:widowControl/>
        <w:numPr>
          <w:ilvl w:val="0"/>
          <w:numId w:val="115"/>
        </w:numPr>
        <w:shd w:val="clear" w:color="auto" w:fill="FFFFFF"/>
        <w:suppressAutoHyphens/>
        <w:autoSpaceDN w:val="0"/>
        <w:spacing w:before="0" w:after="0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dane nie są już niezbędne do celów, dla których zostały zebrane i nie ma podstawy prawnej</w:t>
      </w:r>
      <w:r>
        <w:rPr>
          <w:rFonts w:ascii="Times New Roman" w:hAnsi="Times New Roman" w:cs="Times New Roman"/>
          <w:iCs w:val="0"/>
          <w:sz w:val="22"/>
        </w:rPr>
        <w:t xml:space="preserve">                </w:t>
      </w:r>
      <w:r w:rsidRPr="003F0E9F">
        <w:rPr>
          <w:rFonts w:ascii="Times New Roman" w:hAnsi="Times New Roman" w:cs="Times New Roman"/>
          <w:iCs w:val="0"/>
          <w:sz w:val="22"/>
        </w:rPr>
        <w:t xml:space="preserve"> do dalszego przetwarzania;</w:t>
      </w:r>
    </w:p>
    <w:p w14:paraId="6D7987CB" w14:textId="77777777" w:rsidR="003F0E9F" w:rsidRPr="003F0E9F" w:rsidRDefault="003F0E9F" w:rsidP="003F0E9F">
      <w:pPr>
        <w:widowControl/>
        <w:numPr>
          <w:ilvl w:val="0"/>
          <w:numId w:val="115"/>
        </w:numPr>
        <w:shd w:val="clear" w:color="auto" w:fill="FFFFFF"/>
        <w:suppressAutoHyphens/>
        <w:autoSpaceDN w:val="0"/>
        <w:spacing w:before="0" w:after="0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dane osobowe przetwarzane są niezgodnie z prawem</w:t>
      </w:r>
    </w:p>
    <w:p w14:paraId="6A5B644A" w14:textId="77777777" w:rsidR="003F0E9F" w:rsidRPr="003F0E9F" w:rsidRDefault="003F0E9F" w:rsidP="003F0E9F">
      <w:pPr>
        <w:widowControl/>
        <w:numPr>
          <w:ilvl w:val="0"/>
          <w:numId w:val="114"/>
        </w:numPr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F235A4D" w14:textId="309F2059" w:rsidR="003F0E9F" w:rsidRPr="003F0E9F" w:rsidRDefault="003F0E9F" w:rsidP="003F0E9F">
      <w:pPr>
        <w:widowControl/>
        <w:numPr>
          <w:ilvl w:val="0"/>
          <w:numId w:val="114"/>
        </w:numPr>
        <w:spacing w:before="0" w:after="0"/>
        <w:jc w:val="both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prawo do wniesienia skargi do Prezesa Urzędu Ochrony Danych Osobowych, gdy uzna Pani/Pan</w:t>
      </w:r>
      <w:r>
        <w:rPr>
          <w:rFonts w:ascii="Times New Roman" w:hAnsi="Times New Roman" w:cs="Times New Roman"/>
          <w:iCs w:val="0"/>
          <w:sz w:val="22"/>
        </w:rPr>
        <w:t>,</w:t>
      </w:r>
      <w:r w:rsidRPr="003F0E9F">
        <w:rPr>
          <w:rFonts w:ascii="Times New Roman" w:hAnsi="Times New Roman" w:cs="Times New Roman"/>
          <w:iCs w:val="0"/>
          <w:sz w:val="22"/>
        </w:rPr>
        <w:t xml:space="preserve"> </w:t>
      </w:r>
      <w:r>
        <w:rPr>
          <w:rFonts w:ascii="Times New Roman" w:hAnsi="Times New Roman" w:cs="Times New Roman"/>
          <w:iCs w:val="0"/>
          <w:sz w:val="22"/>
        </w:rPr>
        <w:t xml:space="preserve">                      </w:t>
      </w:r>
      <w:r w:rsidRPr="003F0E9F">
        <w:rPr>
          <w:rFonts w:ascii="Times New Roman" w:hAnsi="Times New Roman" w:cs="Times New Roman"/>
          <w:iCs w:val="0"/>
          <w:sz w:val="22"/>
        </w:rPr>
        <w:t xml:space="preserve">że przetwarzanie danych osobowych narusza przepisy RODO; </w:t>
      </w:r>
    </w:p>
    <w:p w14:paraId="1A4C19A3" w14:textId="5FD6BE0F" w:rsidR="003F0E9F" w:rsidRPr="003F0E9F" w:rsidRDefault="003F0E9F" w:rsidP="003F0E9F">
      <w:pPr>
        <w:widowControl/>
        <w:shd w:val="clear" w:color="auto" w:fill="FFFFFF"/>
        <w:spacing w:before="0" w:after="0"/>
        <w:ind w:left="426" w:hanging="426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7)</w:t>
      </w:r>
      <w:r w:rsidRPr="003F0E9F">
        <w:rPr>
          <w:rFonts w:ascii="Times New Roman" w:hAnsi="Times New Roman" w:cs="Times New Roman"/>
          <w:iCs w:val="0"/>
          <w:sz w:val="22"/>
        </w:rPr>
        <w:tab/>
        <w:t>Pani/Pana dane osobowe nie będą  podlegać decyzji, która opiera się wyłącznie</w:t>
      </w:r>
      <w:r>
        <w:rPr>
          <w:rFonts w:ascii="Times New Roman" w:hAnsi="Times New Roman" w:cs="Times New Roman"/>
          <w:iCs w:val="0"/>
          <w:sz w:val="22"/>
        </w:rPr>
        <w:t xml:space="preserve"> </w:t>
      </w:r>
      <w:r w:rsidRPr="003F0E9F">
        <w:rPr>
          <w:rFonts w:ascii="Times New Roman" w:hAnsi="Times New Roman" w:cs="Times New Roman"/>
          <w:iCs w:val="0"/>
          <w:sz w:val="22"/>
        </w:rPr>
        <w:t>na zautomatyzowanym przetwarzaniu w tym profilowaniu, stosowanie do art. 22 RODO;</w:t>
      </w:r>
    </w:p>
    <w:p w14:paraId="748037A3" w14:textId="4C52D72C" w:rsidR="003F0E9F" w:rsidRPr="003F0E9F" w:rsidRDefault="003F0E9F" w:rsidP="003F0E9F">
      <w:pPr>
        <w:widowControl/>
        <w:shd w:val="clear" w:color="auto" w:fill="FFFFFF"/>
        <w:spacing w:before="0" w:after="0"/>
        <w:ind w:left="426" w:hanging="426"/>
        <w:jc w:val="both"/>
        <w:textAlignment w:val="baseline"/>
        <w:rPr>
          <w:rFonts w:ascii="Times New Roman" w:hAnsi="Times New Roman" w:cs="Times New Roman"/>
          <w:iCs w:val="0"/>
          <w:sz w:val="22"/>
        </w:rPr>
      </w:pPr>
      <w:r w:rsidRPr="003F0E9F">
        <w:rPr>
          <w:rFonts w:ascii="Times New Roman" w:hAnsi="Times New Roman" w:cs="Times New Roman"/>
          <w:iCs w:val="0"/>
          <w:sz w:val="22"/>
        </w:rPr>
        <w:t>8) Administrator nie zamierza przekazywać Pani/Pana danych do państwa trzeciego ani do organizacji międzynarodowych.</w:t>
      </w:r>
    </w:p>
    <w:p w14:paraId="29923F59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72BA1FEA" w14:textId="77777777" w:rsidR="003F0E9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  <w:p w14:paraId="3A28039C" w14:textId="77777777" w:rsidR="003F0E9F" w:rsidRPr="00003CCF" w:rsidRDefault="003F0E9F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E7540" w14:textId="77777777" w:rsidR="001C0B8D" w:rsidRDefault="001C0B8D" w:rsidP="005F02B9">
      <w:r>
        <w:separator/>
      </w:r>
    </w:p>
    <w:p w14:paraId="55B506FE" w14:textId="77777777" w:rsidR="001C0B8D" w:rsidRDefault="001C0B8D" w:rsidP="005F02B9"/>
    <w:p w14:paraId="1CDA29F3" w14:textId="77777777" w:rsidR="001C0B8D" w:rsidRDefault="001C0B8D" w:rsidP="005F02B9"/>
    <w:p w14:paraId="7888036D" w14:textId="77777777" w:rsidR="001C0B8D" w:rsidRDefault="001C0B8D"/>
  </w:footnote>
  <w:footnote w:type="continuationSeparator" w:id="0">
    <w:p w14:paraId="161FEC81" w14:textId="77777777" w:rsidR="001C0B8D" w:rsidRDefault="001C0B8D" w:rsidP="005F02B9">
      <w:r>
        <w:continuationSeparator/>
      </w:r>
    </w:p>
    <w:p w14:paraId="61C0C310" w14:textId="77777777" w:rsidR="001C0B8D" w:rsidRDefault="001C0B8D" w:rsidP="005F02B9"/>
    <w:p w14:paraId="3B08317A" w14:textId="77777777" w:rsidR="001C0B8D" w:rsidRDefault="001C0B8D" w:rsidP="005F02B9"/>
    <w:p w14:paraId="445EE80B" w14:textId="77777777" w:rsidR="001C0B8D" w:rsidRDefault="001C0B8D"/>
  </w:footnote>
  <w:footnote w:type="continuationNotice" w:id="1">
    <w:p w14:paraId="6B654D73" w14:textId="77777777" w:rsidR="001C0B8D" w:rsidRDefault="001C0B8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4DD5"/>
    <w:multiLevelType w:val="hybridMultilevel"/>
    <w:tmpl w:val="79529A8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3B283BC6"/>
    <w:multiLevelType w:val="hybridMultilevel"/>
    <w:tmpl w:val="9A0676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B5C77D6"/>
    <w:multiLevelType w:val="hybridMultilevel"/>
    <w:tmpl w:val="9CD4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9"/>
  </w:num>
  <w:num w:numId="5" w16cid:durableId="1793018176">
    <w:abstractNumId w:val="41"/>
  </w:num>
  <w:num w:numId="6" w16cid:durableId="1101335084">
    <w:abstractNumId w:val="3"/>
  </w:num>
  <w:num w:numId="7" w16cid:durableId="257716897">
    <w:abstractNumId w:val="15"/>
  </w:num>
  <w:num w:numId="8" w16cid:durableId="454375250">
    <w:abstractNumId w:val="29"/>
  </w:num>
  <w:num w:numId="9" w16cid:durableId="1938711003">
    <w:abstractNumId w:val="39"/>
  </w:num>
  <w:num w:numId="10" w16cid:durableId="281501283">
    <w:abstractNumId w:val="6"/>
  </w:num>
  <w:num w:numId="11" w16cid:durableId="1769933199">
    <w:abstractNumId w:val="16"/>
  </w:num>
  <w:num w:numId="12" w16cid:durableId="1870143354">
    <w:abstractNumId w:val="16"/>
    <w:lvlOverride w:ilvl="0">
      <w:startOverride w:val="1"/>
    </w:lvlOverride>
  </w:num>
  <w:num w:numId="13" w16cid:durableId="1087458321">
    <w:abstractNumId w:val="16"/>
    <w:lvlOverride w:ilvl="0">
      <w:startOverride w:val="1"/>
    </w:lvlOverride>
  </w:num>
  <w:num w:numId="14" w16cid:durableId="953096672">
    <w:abstractNumId w:val="25"/>
  </w:num>
  <w:num w:numId="15" w16cid:durableId="1859467562">
    <w:abstractNumId w:val="33"/>
  </w:num>
  <w:num w:numId="16" w16cid:durableId="46997084">
    <w:abstractNumId w:val="42"/>
  </w:num>
  <w:num w:numId="17" w16cid:durableId="7695429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42"/>
  </w:num>
  <w:num w:numId="19" w16cid:durableId="874729154">
    <w:abstractNumId w:val="42"/>
  </w:num>
  <w:num w:numId="20" w16cid:durableId="747845981">
    <w:abstractNumId w:val="42"/>
  </w:num>
  <w:num w:numId="21" w16cid:durableId="520582182">
    <w:abstractNumId w:val="42"/>
  </w:num>
  <w:num w:numId="22" w16cid:durableId="1449465805">
    <w:abstractNumId w:val="36"/>
  </w:num>
  <w:num w:numId="23" w16cid:durableId="1912619045">
    <w:abstractNumId w:val="42"/>
  </w:num>
  <w:num w:numId="24" w16cid:durableId="401759100">
    <w:abstractNumId w:val="42"/>
  </w:num>
  <w:num w:numId="25" w16cid:durableId="937248528">
    <w:abstractNumId w:val="42"/>
  </w:num>
  <w:num w:numId="26" w16cid:durableId="2023313572">
    <w:abstractNumId w:val="42"/>
  </w:num>
  <w:num w:numId="27" w16cid:durableId="1345480314">
    <w:abstractNumId w:val="42"/>
  </w:num>
  <w:num w:numId="28" w16cid:durableId="1903178703">
    <w:abstractNumId w:val="42"/>
  </w:num>
  <w:num w:numId="29" w16cid:durableId="353461618">
    <w:abstractNumId w:val="42"/>
  </w:num>
  <w:num w:numId="30" w16cid:durableId="108164127">
    <w:abstractNumId w:val="27"/>
  </w:num>
  <w:num w:numId="31" w16cid:durableId="1541549650">
    <w:abstractNumId w:val="42"/>
  </w:num>
  <w:num w:numId="32" w16cid:durableId="953513379">
    <w:abstractNumId w:val="42"/>
  </w:num>
  <w:num w:numId="33" w16cid:durableId="1773667328">
    <w:abstractNumId w:val="42"/>
  </w:num>
  <w:num w:numId="34" w16cid:durableId="648167400">
    <w:abstractNumId w:val="42"/>
  </w:num>
  <w:num w:numId="35" w16cid:durableId="380252705">
    <w:abstractNumId w:val="27"/>
  </w:num>
  <w:num w:numId="36" w16cid:durableId="1150437181">
    <w:abstractNumId w:val="27"/>
  </w:num>
  <w:num w:numId="37" w16cid:durableId="67457227">
    <w:abstractNumId w:val="27"/>
  </w:num>
  <w:num w:numId="38" w16cid:durableId="1383286346">
    <w:abstractNumId w:val="27"/>
  </w:num>
  <w:num w:numId="39" w16cid:durableId="2105105506">
    <w:abstractNumId w:val="27"/>
  </w:num>
  <w:num w:numId="40" w16cid:durableId="1058628618">
    <w:abstractNumId w:val="27"/>
  </w:num>
  <w:num w:numId="41" w16cid:durableId="196893998">
    <w:abstractNumId w:val="28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6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7"/>
  </w:num>
  <w:num w:numId="50" w16cid:durableId="672225172">
    <w:abstractNumId w:val="40"/>
  </w:num>
  <w:num w:numId="51" w16cid:durableId="1121462529">
    <w:abstractNumId w:val="14"/>
  </w:num>
  <w:num w:numId="52" w16cid:durableId="1166243100">
    <w:abstractNumId w:val="17"/>
  </w:num>
  <w:num w:numId="53" w16cid:durableId="1710302953">
    <w:abstractNumId w:val="38"/>
  </w:num>
  <w:num w:numId="54" w16cid:durableId="1669166732">
    <w:abstractNumId w:val="17"/>
  </w:num>
  <w:num w:numId="55" w16cid:durableId="523248528">
    <w:abstractNumId w:val="7"/>
  </w:num>
  <w:num w:numId="56" w16cid:durableId="969015696">
    <w:abstractNumId w:val="17"/>
  </w:num>
  <w:num w:numId="57" w16cid:durableId="734737231">
    <w:abstractNumId w:val="2"/>
  </w:num>
  <w:num w:numId="58" w16cid:durableId="1205098142">
    <w:abstractNumId w:val="37"/>
  </w:num>
  <w:num w:numId="59" w16cid:durableId="385103038">
    <w:abstractNumId w:val="17"/>
  </w:num>
  <w:num w:numId="60" w16cid:durableId="1806120407">
    <w:abstractNumId w:val="17"/>
  </w:num>
  <w:num w:numId="61" w16cid:durableId="486290791">
    <w:abstractNumId w:val="17"/>
  </w:num>
  <w:num w:numId="62" w16cid:durableId="1743023437">
    <w:abstractNumId w:val="7"/>
  </w:num>
  <w:num w:numId="63" w16cid:durableId="1292442819">
    <w:abstractNumId w:val="12"/>
  </w:num>
  <w:num w:numId="64" w16cid:durableId="557668044">
    <w:abstractNumId w:val="30"/>
  </w:num>
  <w:num w:numId="65" w16cid:durableId="2072389534">
    <w:abstractNumId w:val="10"/>
  </w:num>
  <w:num w:numId="66" w16cid:durableId="776873126">
    <w:abstractNumId w:val="1"/>
  </w:num>
  <w:num w:numId="67" w16cid:durableId="15348845">
    <w:abstractNumId w:val="7"/>
  </w:num>
  <w:num w:numId="68" w16cid:durableId="1195537801">
    <w:abstractNumId w:val="7"/>
  </w:num>
  <w:num w:numId="69" w16cid:durableId="1714768688">
    <w:abstractNumId w:val="7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20"/>
  </w:num>
  <w:num w:numId="75" w16cid:durableId="1499423655">
    <w:abstractNumId w:val="21"/>
  </w:num>
  <w:num w:numId="76" w16cid:durableId="387538084">
    <w:abstractNumId w:val="21"/>
  </w:num>
  <w:num w:numId="77" w16cid:durableId="1106655828">
    <w:abstractNumId w:val="21"/>
  </w:num>
  <w:num w:numId="78" w16cid:durableId="940186137">
    <w:abstractNumId w:val="21"/>
  </w:num>
  <w:num w:numId="79" w16cid:durableId="362436394">
    <w:abstractNumId w:val="21"/>
  </w:num>
  <w:num w:numId="80" w16cid:durableId="1096898404">
    <w:abstractNumId w:val="27"/>
  </w:num>
  <w:num w:numId="81" w16cid:durableId="335504471">
    <w:abstractNumId w:val="7"/>
  </w:num>
  <w:num w:numId="82" w16cid:durableId="2093358395">
    <w:abstractNumId w:val="43"/>
  </w:num>
  <w:num w:numId="83" w16cid:durableId="1316177555">
    <w:abstractNumId w:val="18"/>
  </w:num>
  <w:num w:numId="84" w16cid:durableId="571428219">
    <w:abstractNumId w:val="18"/>
  </w:num>
  <w:num w:numId="85" w16cid:durableId="682322682">
    <w:abstractNumId w:val="18"/>
  </w:num>
  <w:num w:numId="86" w16cid:durableId="1997563623">
    <w:abstractNumId w:val="27"/>
  </w:num>
  <w:num w:numId="87" w16cid:durableId="1262448224">
    <w:abstractNumId w:val="7"/>
  </w:num>
  <w:num w:numId="88" w16cid:durableId="1661737184">
    <w:abstractNumId w:val="35"/>
  </w:num>
  <w:num w:numId="89" w16cid:durableId="412168632">
    <w:abstractNumId w:val="11"/>
  </w:num>
  <w:num w:numId="90" w16cid:durableId="1705209037">
    <w:abstractNumId w:val="45"/>
  </w:num>
  <w:num w:numId="91" w16cid:durableId="1916549842">
    <w:abstractNumId w:val="13"/>
  </w:num>
  <w:num w:numId="92" w16cid:durableId="334575988">
    <w:abstractNumId w:val="34"/>
  </w:num>
  <w:num w:numId="93" w16cid:durableId="1601524988">
    <w:abstractNumId w:val="7"/>
    <w:lvlOverride w:ilvl="0">
      <w:startOverride w:val="5"/>
    </w:lvlOverride>
  </w:num>
  <w:num w:numId="94" w16cid:durableId="1553688314">
    <w:abstractNumId w:val="7"/>
  </w:num>
  <w:num w:numId="95" w16cid:durableId="19389508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2"/>
  </w:num>
  <w:num w:numId="98" w16cid:durableId="713506899">
    <w:abstractNumId w:val="8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32"/>
  </w:num>
  <w:num w:numId="100" w16cid:durableId="1960604309">
    <w:abstractNumId w:val="32"/>
  </w:num>
  <w:num w:numId="101" w16cid:durableId="1883863407">
    <w:abstractNumId w:val="26"/>
  </w:num>
  <w:num w:numId="102" w16cid:durableId="569921812">
    <w:abstractNumId w:val="48"/>
  </w:num>
  <w:num w:numId="103" w16cid:durableId="1128619967">
    <w:abstractNumId w:val="31"/>
  </w:num>
  <w:num w:numId="104" w16cid:durableId="164882193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32"/>
  </w:num>
  <w:num w:numId="109" w16cid:durableId="139716597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4"/>
  </w:num>
  <w:num w:numId="112" w16cid:durableId="472530283">
    <w:abstractNumId w:val="23"/>
  </w:num>
  <w:num w:numId="113" w16cid:durableId="1524243939">
    <w:abstractNumId w:val="5"/>
  </w:num>
  <w:num w:numId="114" w16cid:durableId="2000384735">
    <w:abstractNumId w:val="24"/>
  </w:num>
  <w:num w:numId="115" w16cid:durableId="1272786378">
    <w:abstractNumId w:val="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B8D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2481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0E9F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435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2BD0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gmina-radomsko.pl" TargetMode="External"/><Relationship Id="rId1" Type="http://schemas.openxmlformats.org/officeDocument/2006/relationships/hyperlink" Target="mailto:sekretariat@gmina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2754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Iwona Dudek</cp:lastModifiedBy>
  <cp:revision>3</cp:revision>
  <cp:lastPrinted>2024-04-25T07:39:00Z</cp:lastPrinted>
  <dcterms:created xsi:type="dcterms:W3CDTF">2024-04-25T07:57:00Z</dcterms:created>
  <dcterms:modified xsi:type="dcterms:W3CDTF">2024-04-25T08:00:00Z</dcterms:modified>
</cp:coreProperties>
</file>